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06" w:rsidRPr="00A00206" w:rsidRDefault="002E368F" w:rsidP="00A00206">
      <w:pPr>
        <w:spacing w:after="0"/>
        <w:jc w:val="center"/>
        <w:rPr>
          <w:rFonts w:ascii="Georgia" w:hAnsi="Georgia" w:cs="Arial"/>
          <w:b/>
          <w:color w:val="0070C0"/>
          <w:sz w:val="28"/>
          <w:szCs w:val="28"/>
          <w:u w:val="single"/>
        </w:rPr>
      </w:pPr>
      <w:r w:rsidRPr="00A00206">
        <w:rPr>
          <w:rFonts w:ascii="Georgia" w:hAnsi="Georgia" w:cs="Arial"/>
          <w:b/>
          <w:color w:val="0070C0"/>
          <w:sz w:val="28"/>
          <w:szCs w:val="28"/>
          <w:u w:val="single"/>
        </w:rPr>
        <w:t>FAS News Letter</w:t>
      </w:r>
      <w:r w:rsidR="0048098A" w:rsidRPr="00A00206">
        <w:rPr>
          <w:rFonts w:ascii="Georgia" w:hAnsi="Georgia" w:cs="Arial"/>
          <w:b/>
          <w:color w:val="0070C0"/>
          <w:sz w:val="28"/>
          <w:szCs w:val="28"/>
          <w:u w:val="single"/>
        </w:rPr>
        <w:t xml:space="preserve">  </w:t>
      </w:r>
      <w:r w:rsidR="00FC5777" w:rsidRPr="00A00206">
        <w:rPr>
          <w:rFonts w:ascii="Georgia" w:hAnsi="Georgia" w:cs="Arial"/>
          <w:b/>
          <w:color w:val="0070C0"/>
          <w:sz w:val="28"/>
          <w:szCs w:val="28"/>
          <w:u w:val="single"/>
        </w:rPr>
        <w:t xml:space="preserve">No. 1 </w:t>
      </w:r>
    </w:p>
    <w:p w:rsidR="00AC4B7A" w:rsidRPr="00A00206" w:rsidRDefault="00FC5777" w:rsidP="00A00206">
      <w:pPr>
        <w:spacing w:after="0"/>
        <w:jc w:val="center"/>
        <w:rPr>
          <w:rFonts w:ascii="Georgia" w:hAnsi="Georgia" w:cs="Arial"/>
          <w:b/>
          <w:color w:val="0070C0"/>
          <w:sz w:val="28"/>
          <w:szCs w:val="28"/>
        </w:rPr>
      </w:pPr>
      <w:r w:rsidRPr="00A00206">
        <w:rPr>
          <w:rFonts w:ascii="Georgia" w:hAnsi="Georgia" w:cs="Arial"/>
          <w:b/>
          <w:color w:val="0070C0"/>
        </w:rPr>
        <w:t xml:space="preserve"> </w:t>
      </w:r>
      <w:r w:rsidR="00120660">
        <w:rPr>
          <w:rFonts w:ascii="Georgia" w:hAnsi="Georgia" w:cs="Arial"/>
          <w:b/>
          <w:color w:val="0070C0"/>
        </w:rPr>
        <w:t>24</w:t>
      </w:r>
      <w:r w:rsidR="0048098A" w:rsidRPr="00A00206">
        <w:rPr>
          <w:rFonts w:ascii="Georgia" w:hAnsi="Georgia" w:cs="Arial"/>
          <w:b/>
          <w:color w:val="0070C0"/>
        </w:rPr>
        <w:t>. September 2010</w:t>
      </w:r>
    </w:p>
    <w:p w:rsidR="00A00206" w:rsidRDefault="00A00206" w:rsidP="00A00206">
      <w:pPr>
        <w:spacing w:after="0"/>
        <w:jc w:val="center"/>
        <w:rPr>
          <w:rFonts w:ascii="Georgia" w:hAnsi="Georgia" w:cs="Arial"/>
          <w:b/>
        </w:rPr>
      </w:pPr>
    </w:p>
    <w:p w:rsidR="00A13A2E" w:rsidRPr="00197C73" w:rsidRDefault="00A46476" w:rsidP="004941FD">
      <w:pPr>
        <w:spacing w:after="0"/>
        <w:jc w:val="both"/>
        <w:rPr>
          <w:rFonts w:ascii="Georgia" w:hAnsi="Georgia" w:cs="Arial"/>
          <w:b/>
          <w:color w:val="FF0000"/>
        </w:rPr>
      </w:pPr>
      <w:r w:rsidRPr="00197C73">
        <w:rPr>
          <w:rFonts w:ascii="Georgia" w:hAnsi="Georgia" w:cs="Arial"/>
          <w:b/>
        </w:rPr>
        <w:t>During this summer</w:t>
      </w:r>
      <w:r w:rsidR="00A23BA0" w:rsidRPr="00197C73">
        <w:rPr>
          <w:rFonts w:ascii="Georgia" w:hAnsi="Georgia" w:cs="Arial"/>
          <w:b/>
        </w:rPr>
        <w:t>,</w:t>
      </w:r>
      <w:r w:rsidRPr="00197C73">
        <w:rPr>
          <w:rFonts w:ascii="Georgia" w:hAnsi="Georgia" w:cs="Arial"/>
          <w:b/>
        </w:rPr>
        <w:t xml:space="preserve"> several adjustments were made within the marit</w:t>
      </w:r>
      <w:r w:rsidR="00A23BA0" w:rsidRPr="00197C73">
        <w:rPr>
          <w:rFonts w:ascii="Georgia" w:hAnsi="Georgia" w:cs="Arial"/>
          <w:b/>
        </w:rPr>
        <w:t>ime sector in the Faroe Islands</w:t>
      </w:r>
      <w:r w:rsidR="002E368F" w:rsidRPr="00197C73">
        <w:rPr>
          <w:rFonts w:ascii="Georgia" w:hAnsi="Georgia" w:cs="Arial"/>
          <w:b/>
        </w:rPr>
        <w:t>,</w:t>
      </w:r>
      <w:r w:rsidR="00A23BA0" w:rsidRPr="00197C73">
        <w:rPr>
          <w:rFonts w:ascii="Georgia" w:hAnsi="Georgia" w:cs="Arial"/>
          <w:b/>
        </w:rPr>
        <w:t xml:space="preserve"> all with the same immediate purpose of adjusting the authorities to meet the </w:t>
      </w:r>
      <w:r w:rsidR="00FB15EA" w:rsidRPr="00197C73">
        <w:rPr>
          <w:rFonts w:ascii="Georgia" w:hAnsi="Georgia" w:cs="Arial"/>
          <w:b/>
        </w:rPr>
        <w:t xml:space="preserve">greater challenges and to strengthen </w:t>
      </w:r>
      <w:r w:rsidR="002E368F" w:rsidRPr="00197C73">
        <w:rPr>
          <w:rFonts w:ascii="Georgia" w:hAnsi="Georgia" w:cs="Arial"/>
          <w:b/>
        </w:rPr>
        <w:t>the FAS</w:t>
      </w:r>
      <w:r w:rsidR="00FB15EA" w:rsidRPr="00197C73">
        <w:rPr>
          <w:rFonts w:ascii="Georgia" w:hAnsi="Georgia" w:cs="Arial"/>
          <w:b/>
        </w:rPr>
        <w:t xml:space="preserve"> position in the </w:t>
      </w:r>
      <w:r w:rsidRPr="00197C73">
        <w:rPr>
          <w:rFonts w:ascii="Georgia" w:hAnsi="Georgia" w:cs="Arial"/>
          <w:b/>
        </w:rPr>
        <w:t>future</w:t>
      </w:r>
      <w:r w:rsidR="00A23BA0" w:rsidRPr="00197C73">
        <w:rPr>
          <w:rFonts w:ascii="Georgia" w:hAnsi="Georgia" w:cs="Arial"/>
          <w:b/>
        </w:rPr>
        <w:t>.</w:t>
      </w:r>
      <w:r w:rsidRPr="00197C73">
        <w:rPr>
          <w:rFonts w:ascii="Georgia" w:hAnsi="Georgia" w:cs="Arial"/>
          <w:b/>
        </w:rPr>
        <w:t xml:space="preserve"> </w:t>
      </w:r>
    </w:p>
    <w:p w:rsidR="002E368F" w:rsidRPr="00197C73" w:rsidRDefault="002E368F" w:rsidP="002E368F">
      <w:pPr>
        <w:spacing w:after="0"/>
        <w:rPr>
          <w:rFonts w:ascii="Georgia" w:hAnsi="Georgia" w:cs="Arial"/>
          <w:b/>
        </w:rPr>
      </w:pPr>
    </w:p>
    <w:p w:rsidR="008E4787" w:rsidRDefault="008F6D7E" w:rsidP="00A00206">
      <w:pPr>
        <w:spacing w:after="0"/>
        <w:rPr>
          <w:rFonts w:ascii="Georgia" w:hAnsi="Georgia" w:cs="Arial"/>
        </w:rPr>
      </w:pPr>
      <w:r w:rsidRPr="00197C73">
        <w:rPr>
          <w:rFonts w:ascii="Georgia" w:hAnsi="Georgia" w:cs="Arial"/>
          <w:b/>
        </w:rPr>
        <w:t xml:space="preserve">Merger of </w:t>
      </w:r>
      <w:r w:rsidR="00FC5777">
        <w:rPr>
          <w:rFonts w:ascii="Georgia" w:hAnsi="Georgia" w:cs="Arial"/>
          <w:b/>
        </w:rPr>
        <w:t>the ship register</w:t>
      </w:r>
      <w:r w:rsidR="00D07E2F" w:rsidRPr="00197C73">
        <w:rPr>
          <w:rFonts w:ascii="Georgia" w:hAnsi="Georgia" w:cs="Arial"/>
          <w:b/>
        </w:rPr>
        <w:t xml:space="preserve"> </w:t>
      </w:r>
      <w:r w:rsidRPr="00197C73">
        <w:rPr>
          <w:rFonts w:ascii="Georgia" w:hAnsi="Georgia" w:cs="Arial"/>
          <w:b/>
        </w:rPr>
        <w:t>FAS and</w:t>
      </w:r>
      <w:r w:rsidR="00D07E2F" w:rsidRPr="00197C73">
        <w:rPr>
          <w:rFonts w:ascii="Georgia" w:hAnsi="Georgia" w:cs="Arial"/>
          <w:b/>
        </w:rPr>
        <w:t xml:space="preserve"> the maritime authority</w:t>
      </w:r>
      <w:r w:rsidRPr="00197C73">
        <w:rPr>
          <w:rFonts w:ascii="Georgia" w:hAnsi="Georgia" w:cs="Arial"/>
          <w:b/>
        </w:rPr>
        <w:t xml:space="preserve"> FMA</w:t>
      </w:r>
    </w:p>
    <w:p w:rsidR="00837B7C" w:rsidRPr="00197C73" w:rsidRDefault="002B0BDA" w:rsidP="002E368F">
      <w:pPr>
        <w:spacing w:after="0"/>
        <w:jc w:val="both"/>
        <w:rPr>
          <w:rFonts w:ascii="Georgia" w:hAnsi="Georgia" w:cs="Arial"/>
        </w:rPr>
      </w:pPr>
      <w:r w:rsidRPr="00197C73">
        <w:rPr>
          <w:rFonts w:ascii="Georgia" w:hAnsi="Georgia" w:cs="Arial"/>
        </w:rPr>
        <w:t>1</w:t>
      </w:r>
      <w:r w:rsidR="00D07E2F" w:rsidRPr="00197C73">
        <w:rPr>
          <w:rFonts w:ascii="Georgia" w:hAnsi="Georgia" w:cs="Arial"/>
        </w:rPr>
        <w:t>st of June 2010 the Faroese National &amp; International Ship Register was merged with the Faroese</w:t>
      </w:r>
      <w:r w:rsidR="006C201A" w:rsidRPr="00197C73">
        <w:rPr>
          <w:rFonts w:ascii="Georgia" w:hAnsi="Georgia" w:cs="Arial"/>
        </w:rPr>
        <w:t xml:space="preserve"> Maritime Authority. </w:t>
      </w:r>
    </w:p>
    <w:p w:rsidR="00616692" w:rsidRPr="00197C73" w:rsidRDefault="00616692" w:rsidP="002E368F">
      <w:pPr>
        <w:spacing w:after="0"/>
        <w:jc w:val="both"/>
        <w:rPr>
          <w:rFonts w:ascii="Georgia" w:hAnsi="Georgia" w:cs="Arial"/>
          <w:b/>
        </w:rPr>
      </w:pPr>
    </w:p>
    <w:p w:rsidR="006C201A" w:rsidRPr="00197C73" w:rsidRDefault="00E1107D" w:rsidP="002E368F">
      <w:pPr>
        <w:spacing w:after="0"/>
        <w:jc w:val="both"/>
        <w:rPr>
          <w:rFonts w:ascii="Georgia" w:hAnsi="Georgia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197C73">
        <w:rPr>
          <w:rFonts w:ascii="Georgia" w:hAnsi="Georgia" w:cs="Arial"/>
        </w:rPr>
        <w:t>The</w:t>
      </w:r>
      <w:r w:rsidR="006C201A" w:rsidRPr="00197C73">
        <w:rPr>
          <w:rFonts w:ascii="Georgia" w:hAnsi="Georgia" w:cs="Arial"/>
        </w:rPr>
        <w:t xml:space="preserve"> two administrations have</w:t>
      </w:r>
      <w:r w:rsidRPr="00197C73">
        <w:rPr>
          <w:rFonts w:ascii="Georgia" w:hAnsi="Georgia" w:cs="Arial"/>
        </w:rPr>
        <w:t xml:space="preserve"> always</w:t>
      </w:r>
      <w:r w:rsidR="006C201A" w:rsidRPr="00197C73">
        <w:rPr>
          <w:rFonts w:ascii="Georgia" w:hAnsi="Georgia" w:cs="Arial"/>
        </w:rPr>
        <w:t xml:space="preserve"> bee</w:t>
      </w:r>
      <w:r w:rsidR="00CC746B">
        <w:rPr>
          <w:rFonts w:ascii="Georgia" w:hAnsi="Georgia" w:cs="Arial"/>
        </w:rPr>
        <w:t>n working closely together, so it</w:t>
      </w:r>
      <w:r w:rsidR="006C201A" w:rsidRPr="00197C73">
        <w:rPr>
          <w:rFonts w:ascii="Georgia" w:hAnsi="Georgia" w:cs="Arial"/>
        </w:rPr>
        <w:t xml:space="preserve"> was a logical step to </w:t>
      </w:r>
      <w:r w:rsidRPr="00197C73">
        <w:rPr>
          <w:rFonts w:ascii="Georgia" w:hAnsi="Georgia" w:cs="Arial"/>
        </w:rPr>
        <w:t>implement this merger</w:t>
      </w:r>
      <w:r w:rsidR="006F08F7" w:rsidRPr="00197C73">
        <w:rPr>
          <w:rFonts w:ascii="Georgia" w:hAnsi="Georgia" w:cs="Arial"/>
        </w:rPr>
        <w:t>. It is practical for the administration as well as</w:t>
      </w:r>
      <w:r w:rsidRPr="00197C73">
        <w:rPr>
          <w:rFonts w:ascii="Georgia" w:hAnsi="Georgia" w:cs="Arial"/>
        </w:rPr>
        <w:t xml:space="preserve"> for the</w:t>
      </w:r>
      <w:r w:rsidR="006F08F7" w:rsidRPr="00197C73">
        <w:rPr>
          <w:rFonts w:ascii="Georgia" w:hAnsi="Georgia" w:cs="Arial"/>
        </w:rPr>
        <w:t xml:space="preserve"> shipowners that the</w:t>
      </w:r>
      <w:r w:rsidRPr="00197C73">
        <w:rPr>
          <w:rFonts w:ascii="Georgia" w:hAnsi="Georgia" w:cs="Arial"/>
        </w:rPr>
        <w:t>se maritime activities are</w:t>
      </w:r>
      <w:r w:rsidR="006F08F7" w:rsidRPr="00197C73">
        <w:rPr>
          <w:rFonts w:ascii="Georgia" w:hAnsi="Georgia" w:cs="Arial"/>
        </w:rPr>
        <w:t xml:space="preserve"> </w:t>
      </w:r>
      <w:r w:rsidR="00CE26F9" w:rsidRPr="00197C73">
        <w:rPr>
          <w:rFonts w:ascii="Georgia" w:hAnsi="Georgia" w:cs="Arial"/>
        </w:rPr>
        <w:t xml:space="preserve">now </w:t>
      </w:r>
      <w:r w:rsidR="006F08F7" w:rsidRPr="00197C73">
        <w:rPr>
          <w:rFonts w:ascii="Georgia" w:hAnsi="Georgia" w:cs="Arial"/>
        </w:rPr>
        <w:t xml:space="preserve">under </w:t>
      </w:r>
      <w:r w:rsidRPr="00197C73">
        <w:rPr>
          <w:rFonts w:ascii="Georgia" w:hAnsi="Georgia" w:cs="Arial"/>
        </w:rPr>
        <w:t>joint</w:t>
      </w:r>
      <w:r w:rsidR="006F08F7" w:rsidRPr="00197C73">
        <w:rPr>
          <w:rFonts w:ascii="Georgia" w:hAnsi="Georgia" w:cs="Arial"/>
        </w:rPr>
        <w:t xml:space="preserve"> management. We can</w:t>
      </w:r>
      <w:r w:rsidR="00CE26F9" w:rsidRPr="00197C73">
        <w:rPr>
          <w:rFonts w:ascii="Georgia" w:hAnsi="Georgia" w:cs="Arial"/>
        </w:rPr>
        <w:t xml:space="preserve"> </w:t>
      </w:r>
      <w:r w:rsidR="00FC5777">
        <w:rPr>
          <w:rFonts w:ascii="Georgia" w:hAnsi="Georgia" w:cs="Arial"/>
        </w:rPr>
        <w:t>here</w:t>
      </w:r>
      <w:r w:rsidR="00CE26F9" w:rsidRPr="00197C73">
        <w:rPr>
          <w:rFonts w:ascii="Georgia" w:hAnsi="Georgia" w:cs="Arial"/>
        </w:rPr>
        <w:t>by</w:t>
      </w:r>
      <w:r w:rsidR="006F08F7" w:rsidRPr="00197C73">
        <w:rPr>
          <w:rFonts w:ascii="Georgia" w:hAnsi="Georgia" w:cs="Arial"/>
        </w:rPr>
        <w:t xml:space="preserve"> ensure a consist</w:t>
      </w:r>
      <w:r w:rsidRPr="00197C73">
        <w:rPr>
          <w:rFonts w:ascii="Georgia" w:hAnsi="Georgia" w:cs="Arial"/>
        </w:rPr>
        <w:t>e</w:t>
      </w:r>
      <w:r w:rsidR="006F08F7" w:rsidRPr="00197C73">
        <w:rPr>
          <w:rFonts w:ascii="Georgia" w:hAnsi="Georgia" w:cs="Arial"/>
        </w:rPr>
        <w:t>nt policy and</w:t>
      </w:r>
      <w:r w:rsidR="006446DB" w:rsidRPr="00197C73">
        <w:rPr>
          <w:rFonts w:ascii="Georgia" w:hAnsi="Georgia" w:cs="Arial"/>
        </w:rPr>
        <w:t xml:space="preserve"> </w:t>
      </w:r>
      <w:r w:rsidR="00CC746B">
        <w:rPr>
          <w:rFonts w:ascii="Georgia" w:hAnsi="Georgia" w:cs="Arial"/>
        </w:rPr>
        <w:t>commit our</w:t>
      </w:r>
      <w:r w:rsidR="0039664A" w:rsidRPr="00197C73">
        <w:rPr>
          <w:rFonts w:ascii="Georgia" w:hAnsi="Georgia" w:cs="Arial"/>
        </w:rPr>
        <w:t xml:space="preserve">selves </w:t>
      </w:r>
      <w:r w:rsidRPr="00197C73">
        <w:rPr>
          <w:rFonts w:ascii="Georgia" w:hAnsi="Georgia" w:cs="Arial"/>
        </w:rPr>
        <w:t xml:space="preserve">also in the future </w:t>
      </w:r>
      <w:r w:rsidR="0039664A" w:rsidRPr="00197C73">
        <w:rPr>
          <w:rFonts w:ascii="Georgia" w:hAnsi="Georgia" w:cs="Arial"/>
        </w:rPr>
        <w:t xml:space="preserve">to give shipowners </w:t>
      </w:r>
      <w:r w:rsidR="00E51027">
        <w:rPr>
          <w:rFonts w:ascii="Georgia" w:hAnsi="Georgia" w:cs="Arial"/>
        </w:rPr>
        <w:t xml:space="preserve">a smooth </w:t>
      </w:r>
      <w:r w:rsidRPr="00197C73">
        <w:rPr>
          <w:rFonts w:ascii="Georgia" w:hAnsi="Georgia" w:cs="Arial"/>
        </w:rPr>
        <w:t>and</w:t>
      </w:r>
      <w:r w:rsidR="00E51027">
        <w:rPr>
          <w:rFonts w:ascii="Georgia" w:hAnsi="Georgia" w:cs="Arial"/>
        </w:rPr>
        <w:t xml:space="preserve"> effective</w:t>
      </w:r>
      <w:r w:rsidR="006446DB" w:rsidRPr="00197C73">
        <w:rPr>
          <w:rFonts w:ascii="Georgia" w:hAnsi="Georgia" w:cs="Arial"/>
        </w:rPr>
        <w:t xml:space="preserve"> </w:t>
      </w:r>
      <w:r w:rsidR="006F08F7" w:rsidRPr="00197C73">
        <w:rPr>
          <w:rFonts w:ascii="Georgia" w:hAnsi="Georgia" w:cs="Arial"/>
        </w:rPr>
        <w:t>service on all levels</w:t>
      </w:r>
      <w:r w:rsidR="0039664A" w:rsidRPr="00197C73">
        <w:rPr>
          <w:rFonts w:ascii="Georgia" w:hAnsi="Georgia" w:cs="Arial"/>
        </w:rPr>
        <w:t xml:space="preserve">, as well as we </w:t>
      </w:r>
      <w:r w:rsidR="00CC746B">
        <w:rPr>
          <w:rFonts w:ascii="Georgia" w:hAnsi="Georgia" w:cs="Arial"/>
        </w:rPr>
        <w:t xml:space="preserve">will </w:t>
      </w:r>
      <w:r w:rsidR="00992A16" w:rsidRPr="00197C73">
        <w:rPr>
          <w:rFonts w:ascii="Georgia" w:hAnsi="Georgia" w:cs="Arial"/>
        </w:rPr>
        <w:t xml:space="preserve">hold on to our commitment </w:t>
      </w:r>
      <w:r w:rsidR="00CE26F9" w:rsidRPr="00197C73">
        <w:rPr>
          <w:rFonts w:ascii="Georgia" w:hAnsi="Georgia" w:cs="Arial"/>
        </w:rPr>
        <w:t>to</w:t>
      </w:r>
      <w:r w:rsidR="00992A16" w:rsidRPr="00197C73">
        <w:rPr>
          <w:rFonts w:ascii="Georgia" w:hAnsi="Georgia" w:cs="Arial"/>
        </w:rPr>
        <w:t xml:space="preserve"> international maritime obligations.</w:t>
      </w:r>
    </w:p>
    <w:p w:rsidR="003E7DA5" w:rsidRDefault="003E7DA5" w:rsidP="003E7DA5">
      <w:pPr>
        <w:spacing w:after="0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E7DA5" w:rsidRPr="00B010B8" w:rsidRDefault="003E7DA5" w:rsidP="003E7DA5">
      <w:pPr>
        <w:spacing w:after="0"/>
        <w:jc w:val="both"/>
        <w:rPr>
          <w:rFonts w:ascii="Georgia" w:hAnsi="Georgia"/>
          <w:sz w:val="20"/>
          <w:szCs w:val="20"/>
          <w:lang w:val="en-US"/>
        </w:rPr>
      </w:pPr>
    </w:p>
    <w:p w:rsidR="00913AFA" w:rsidRDefault="00B071FA" w:rsidP="00916D5C">
      <w:pPr>
        <w:spacing w:after="0"/>
        <w:jc w:val="center"/>
        <w:rPr>
          <w:rFonts w:ascii="Georgia" w:hAnsi="Georgia"/>
          <w:sz w:val="14"/>
          <w:szCs w:val="14"/>
        </w:rPr>
      </w:pPr>
      <w:r>
        <w:rPr>
          <w:rFonts w:ascii="Georgia" w:hAnsi="Georgia"/>
          <w:noProof/>
          <w:sz w:val="20"/>
          <w:szCs w:val="20"/>
          <w:lang w:val="da-DK" w:eastAsia="da-DK"/>
        </w:rPr>
        <w:drawing>
          <wp:inline distT="0" distB="0" distL="0" distR="0">
            <wp:extent cx="1440180" cy="1695600"/>
            <wp:effectExtent l="95250" t="76200" r="102870" b="76050"/>
            <wp:docPr id="10" name="Billede 10" descr="\\MAINSRV\SFUSERS$\sp\Starvsfólk\FAS - myndir starvsfólk\_MG_5309 Tomm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MAINSRV\SFUSERS$\sp\Starvsfólk\FAS - myndir starvsfólk\_MG_5309 Tomm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69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02FAD">
        <w:rPr>
          <w:rFonts w:ascii="Georgia" w:hAnsi="Georgia"/>
          <w:sz w:val="20"/>
          <w:szCs w:val="20"/>
        </w:rPr>
        <w:tab/>
      </w:r>
      <w:r w:rsidR="00E02FAD">
        <w:rPr>
          <w:rFonts w:ascii="Georgia" w:hAnsi="Georgia"/>
          <w:sz w:val="20"/>
          <w:szCs w:val="20"/>
        </w:rPr>
        <w:tab/>
      </w:r>
      <w:r w:rsidR="009B14E4">
        <w:rPr>
          <w:noProof/>
          <w:lang w:val="da-DK" w:eastAsia="da-DK"/>
        </w:rPr>
        <w:drawing>
          <wp:inline distT="0" distB="0" distL="0" distR="0">
            <wp:extent cx="1440000" cy="1695190"/>
            <wp:effectExtent l="95250" t="76200" r="103050" b="76460"/>
            <wp:docPr id="7" name="Billede 7" descr="C:\Documents and Settings\sp\Lokale indstillinger\Temporary Internet Files\Content.Word\file_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p\Lokale indstillinger\Temporary Internet Files\Content.Word\file_0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 l="22209" t="9651" r="22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695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16D5C" w:rsidRPr="00916D5C" w:rsidRDefault="00916D5C" w:rsidP="00916D5C">
      <w:pPr>
        <w:spacing w:after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4"/>
          <w:szCs w:val="14"/>
        </w:rPr>
        <w:t xml:space="preserve">                                   </w:t>
      </w:r>
      <w:r w:rsidR="00E26CBB">
        <w:rPr>
          <w:rFonts w:ascii="Georgia" w:hAnsi="Georgia"/>
          <w:sz w:val="14"/>
          <w:szCs w:val="14"/>
        </w:rPr>
        <w:t xml:space="preserve">                     </w:t>
      </w:r>
      <w:r w:rsidRPr="00916D5C">
        <w:rPr>
          <w:rFonts w:ascii="Georgia" w:hAnsi="Georgia"/>
          <w:sz w:val="16"/>
          <w:szCs w:val="16"/>
        </w:rPr>
        <w:t>Mr. Tommy Petersen</w:t>
      </w:r>
      <w:r w:rsidRPr="00916D5C">
        <w:rPr>
          <w:rFonts w:ascii="Georgia" w:hAnsi="Georgia"/>
          <w:sz w:val="16"/>
          <w:szCs w:val="16"/>
        </w:rPr>
        <w:tab/>
        <w:t xml:space="preserve">       </w:t>
      </w:r>
      <w:r>
        <w:rPr>
          <w:rFonts w:ascii="Georgia" w:hAnsi="Georgia"/>
          <w:sz w:val="16"/>
          <w:szCs w:val="16"/>
        </w:rPr>
        <w:t xml:space="preserve">    </w:t>
      </w:r>
      <w:r w:rsidR="002E129C">
        <w:rPr>
          <w:rFonts w:ascii="Georgia" w:hAnsi="Georgia"/>
          <w:sz w:val="16"/>
          <w:szCs w:val="16"/>
        </w:rPr>
        <w:t xml:space="preserve">                            </w:t>
      </w:r>
      <w:r>
        <w:rPr>
          <w:rFonts w:ascii="Georgia" w:hAnsi="Georgia"/>
          <w:sz w:val="16"/>
          <w:szCs w:val="16"/>
        </w:rPr>
        <w:t xml:space="preserve">   </w:t>
      </w:r>
      <w:r w:rsidR="00E26CBB">
        <w:rPr>
          <w:rFonts w:ascii="Georgia" w:hAnsi="Georgia"/>
          <w:sz w:val="16"/>
          <w:szCs w:val="16"/>
        </w:rPr>
        <w:t xml:space="preserve"> </w:t>
      </w:r>
      <w:r w:rsidRPr="00916D5C">
        <w:rPr>
          <w:rFonts w:ascii="Georgia" w:hAnsi="Georgia"/>
          <w:sz w:val="16"/>
          <w:szCs w:val="16"/>
        </w:rPr>
        <w:t>Mr. Vilhjálmur Gregoroussen</w:t>
      </w:r>
    </w:p>
    <w:p w:rsidR="003E7DA5" w:rsidRDefault="003E7DA5" w:rsidP="003E7DA5">
      <w:pPr>
        <w:spacing w:after="0"/>
        <w:jc w:val="both"/>
        <w:rPr>
          <w:rFonts w:ascii="Georgia" w:hAnsi="Georgia"/>
          <w:sz w:val="20"/>
          <w:szCs w:val="20"/>
        </w:rPr>
      </w:pPr>
    </w:p>
    <w:p w:rsidR="00315395" w:rsidRDefault="00315395" w:rsidP="003E7DA5">
      <w:pPr>
        <w:spacing w:after="0"/>
        <w:jc w:val="both"/>
        <w:rPr>
          <w:rFonts w:ascii="Georgia" w:hAnsi="Georgia"/>
          <w:sz w:val="20"/>
          <w:szCs w:val="20"/>
        </w:rPr>
      </w:pPr>
      <w:r w:rsidRPr="00315395">
        <w:rPr>
          <w:rFonts w:ascii="Georgia" w:hAnsi="Georgia"/>
          <w:sz w:val="20"/>
          <w:szCs w:val="20"/>
        </w:rPr>
        <w:t xml:space="preserve">Mr. Tommy Petersen is </w:t>
      </w:r>
      <w:r w:rsidR="00E1107D">
        <w:rPr>
          <w:rFonts w:ascii="Georgia" w:hAnsi="Georgia"/>
          <w:sz w:val="20"/>
          <w:szCs w:val="20"/>
        </w:rPr>
        <w:t>assigned D</w:t>
      </w:r>
      <w:r w:rsidRPr="00315395">
        <w:rPr>
          <w:rFonts w:ascii="Georgia" w:hAnsi="Georgia"/>
          <w:sz w:val="20"/>
          <w:szCs w:val="20"/>
        </w:rPr>
        <w:t xml:space="preserve">irector </w:t>
      </w:r>
      <w:r w:rsidR="00E1107D">
        <w:rPr>
          <w:rFonts w:ascii="Georgia" w:hAnsi="Georgia"/>
          <w:sz w:val="20"/>
          <w:szCs w:val="20"/>
        </w:rPr>
        <w:t>G</w:t>
      </w:r>
      <w:r w:rsidRPr="00315395">
        <w:rPr>
          <w:rFonts w:ascii="Georgia" w:hAnsi="Georgia"/>
          <w:sz w:val="20"/>
          <w:szCs w:val="20"/>
        </w:rPr>
        <w:t xml:space="preserve">eneral of the Faroese Maritime Authority </w:t>
      </w:r>
      <w:r w:rsidRPr="00315395">
        <w:rPr>
          <w:rFonts w:ascii="Georgia" w:hAnsi="Georgia"/>
          <w:b/>
          <w:sz w:val="20"/>
          <w:szCs w:val="20"/>
        </w:rPr>
        <w:t xml:space="preserve">FMA </w:t>
      </w:r>
      <w:r w:rsidR="00735002">
        <w:rPr>
          <w:rFonts w:ascii="Georgia" w:hAnsi="Georgia"/>
          <w:sz w:val="20"/>
          <w:szCs w:val="20"/>
        </w:rPr>
        <w:t xml:space="preserve">with </w:t>
      </w:r>
      <w:r w:rsidRPr="00315395">
        <w:rPr>
          <w:rFonts w:ascii="Georgia" w:hAnsi="Georgia"/>
          <w:sz w:val="20"/>
          <w:szCs w:val="20"/>
        </w:rPr>
        <w:t>Mr. Vilhjálmur Gregorius</w:t>
      </w:r>
      <w:r w:rsidR="00735002">
        <w:rPr>
          <w:rFonts w:ascii="Georgia" w:hAnsi="Georgia"/>
          <w:sz w:val="20"/>
          <w:szCs w:val="20"/>
        </w:rPr>
        <w:t xml:space="preserve">sen as </w:t>
      </w:r>
      <w:r w:rsidR="00E1107D">
        <w:rPr>
          <w:rFonts w:ascii="Georgia" w:hAnsi="Georgia"/>
          <w:sz w:val="20"/>
          <w:szCs w:val="20"/>
        </w:rPr>
        <w:t>D</w:t>
      </w:r>
      <w:r w:rsidR="00735002">
        <w:rPr>
          <w:rFonts w:ascii="Georgia" w:hAnsi="Georgia"/>
          <w:sz w:val="20"/>
          <w:szCs w:val="20"/>
        </w:rPr>
        <w:t xml:space="preserve">eputy </w:t>
      </w:r>
      <w:r w:rsidR="00E1107D">
        <w:rPr>
          <w:rFonts w:ascii="Georgia" w:hAnsi="Georgia"/>
          <w:sz w:val="20"/>
          <w:szCs w:val="20"/>
        </w:rPr>
        <w:t>D</w:t>
      </w:r>
      <w:r w:rsidR="00735002">
        <w:rPr>
          <w:rFonts w:ascii="Georgia" w:hAnsi="Georgia"/>
          <w:sz w:val="20"/>
          <w:szCs w:val="20"/>
        </w:rPr>
        <w:t>irector</w:t>
      </w:r>
      <w:r w:rsidRPr="00315395">
        <w:rPr>
          <w:rFonts w:ascii="Georgia" w:hAnsi="Georgia"/>
          <w:sz w:val="20"/>
          <w:szCs w:val="20"/>
        </w:rPr>
        <w:t>.</w:t>
      </w:r>
    </w:p>
    <w:p w:rsidR="0048098A" w:rsidRDefault="0048098A" w:rsidP="004941FD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The </w:t>
      </w:r>
      <w:r w:rsidR="003E7DA5">
        <w:rPr>
          <w:rFonts w:ascii="Georgia" w:hAnsi="Georgia"/>
          <w:sz w:val="20"/>
          <w:szCs w:val="20"/>
        </w:rPr>
        <w:t>joint authority will continue under</w:t>
      </w:r>
      <w:r>
        <w:rPr>
          <w:rFonts w:ascii="Georgia" w:hAnsi="Georgia"/>
          <w:sz w:val="20"/>
          <w:szCs w:val="20"/>
        </w:rPr>
        <w:t xml:space="preserve"> the name FMA – the Faroese Maritime Authority</w:t>
      </w:r>
      <w:r w:rsidR="003E7DA5">
        <w:rPr>
          <w:rFonts w:ascii="Georgia" w:hAnsi="Georgia"/>
          <w:sz w:val="20"/>
          <w:szCs w:val="20"/>
        </w:rPr>
        <w:t xml:space="preserve"> – as well as</w:t>
      </w:r>
      <w:r>
        <w:rPr>
          <w:rFonts w:ascii="Georgia" w:hAnsi="Georgia"/>
          <w:sz w:val="20"/>
          <w:szCs w:val="20"/>
        </w:rPr>
        <w:t xml:space="preserve"> we will keep the </w:t>
      </w:r>
      <w:r w:rsidR="002E368F">
        <w:rPr>
          <w:rFonts w:ascii="Georgia" w:hAnsi="Georgia"/>
          <w:sz w:val="20"/>
          <w:szCs w:val="20"/>
        </w:rPr>
        <w:t xml:space="preserve">FAS </w:t>
      </w:r>
      <w:r>
        <w:rPr>
          <w:rFonts w:ascii="Georgia" w:hAnsi="Georgia"/>
          <w:sz w:val="20"/>
          <w:szCs w:val="20"/>
        </w:rPr>
        <w:t xml:space="preserve">brand. </w:t>
      </w:r>
    </w:p>
    <w:p w:rsidR="003E7DA5" w:rsidRDefault="003E7DA5" w:rsidP="004941FD">
      <w:pPr>
        <w:spacing w:after="0"/>
        <w:jc w:val="center"/>
        <w:rPr>
          <w:rFonts w:ascii="Georgia" w:hAnsi="Georgia"/>
          <w:sz w:val="20"/>
          <w:szCs w:val="20"/>
        </w:rPr>
      </w:pPr>
    </w:p>
    <w:p w:rsidR="008E4787" w:rsidRDefault="00EB117B" w:rsidP="004941FD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4"/>
          <w:szCs w:val="24"/>
        </w:rPr>
        <w:t>Adjusted r</w:t>
      </w:r>
      <w:r w:rsidR="00A46476">
        <w:rPr>
          <w:rFonts w:ascii="Georgia" w:hAnsi="Georgia"/>
          <w:b/>
          <w:sz w:val="24"/>
          <w:szCs w:val="24"/>
        </w:rPr>
        <w:t xml:space="preserve">egistration fees </w:t>
      </w:r>
    </w:p>
    <w:p w:rsidR="004941FD" w:rsidRDefault="00A46476" w:rsidP="004941FD">
      <w:pPr>
        <w:spacing w:after="0"/>
        <w:rPr>
          <w:rFonts w:ascii="Georgia" w:hAnsi="Georgia"/>
          <w:sz w:val="20"/>
          <w:szCs w:val="20"/>
        </w:rPr>
      </w:pPr>
      <w:r w:rsidRPr="00C81F64">
        <w:rPr>
          <w:rFonts w:ascii="Georgia" w:hAnsi="Georgia"/>
          <w:sz w:val="20"/>
          <w:szCs w:val="20"/>
        </w:rPr>
        <w:t xml:space="preserve">1st of July 2010 </w:t>
      </w:r>
      <w:r w:rsidR="00EB117B" w:rsidRPr="00C81F64">
        <w:rPr>
          <w:rFonts w:ascii="Georgia" w:hAnsi="Georgia"/>
          <w:sz w:val="20"/>
          <w:szCs w:val="20"/>
        </w:rPr>
        <w:t>adjustments</w:t>
      </w:r>
      <w:r w:rsidR="00C81F64">
        <w:rPr>
          <w:rFonts w:ascii="Georgia" w:hAnsi="Georgia"/>
          <w:sz w:val="20"/>
          <w:szCs w:val="20"/>
        </w:rPr>
        <w:t xml:space="preserve"> were made on registration fees</w:t>
      </w:r>
    </w:p>
    <w:p w:rsidR="00616692" w:rsidRPr="00C81F64" w:rsidRDefault="00616692" w:rsidP="004941FD">
      <w:pPr>
        <w:spacing w:after="0"/>
        <w:rPr>
          <w:rFonts w:ascii="Georgia" w:hAnsi="Georgia"/>
          <w:sz w:val="20"/>
          <w:szCs w:val="20"/>
        </w:rPr>
      </w:pPr>
    </w:p>
    <w:p w:rsidR="002B0BDA" w:rsidRDefault="00EB117B" w:rsidP="004941FD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 a way of making the registration f</w:t>
      </w:r>
      <w:r w:rsidR="00A430FF">
        <w:rPr>
          <w:rFonts w:ascii="Georgia" w:hAnsi="Georgia"/>
          <w:sz w:val="20"/>
          <w:szCs w:val="20"/>
        </w:rPr>
        <w:t xml:space="preserve">ees </w:t>
      </w:r>
      <w:r w:rsidR="00AE55EC">
        <w:rPr>
          <w:rFonts w:ascii="Georgia" w:hAnsi="Georgia"/>
          <w:sz w:val="20"/>
          <w:szCs w:val="20"/>
        </w:rPr>
        <w:t xml:space="preserve">to </w:t>
      </w:r>
      <w:r w:rsidR="00A430FF">
        <w:rPr>
          <w:rFonts w:ascii="Georgia" w:hAnsi="Georgia"/>
          <w:sz w:val="20"/>
          <w:szCs w:val="20"/>
        </w:rPr>
        <w:t>b</w:t>
      </w:r>
      <w:r w:rsidR="00102E87">
        <w:rPr>
          <w:rFonts w:ascii="Georgia" w:hAnsi="Georgia"/>
          <w:sz w:val="20"/>
          <w:szCs w:val="20"/>
        </w:rPr>
        <w:t>ecom</w:t>
      </w:r>
      <w:r w:rsidR="00AE55EC">
        <w:rPr>
          <w:rFonts w:ascii="Georgia" w:hAnsi="Georgia"/>
          <w:sz w:val="20"/>
          <w:szCs w:val="20"/>
        </w:rPr>
        <w:t>e even</w:t>
      </w:r>
      <w:r w:rsidR="00102E87">
        <w:rPr>
          <w:rFonts w:ascii="Georgia" w:hAnsi="Georgia"/>
          <w:sz w:val="20"/>
          <w:szCs w:val="20"/>
        </w:rPr>
        <w:t xml:space="preserve"> mo</w:t>
      </w:r>
      <w:r w:rsidR="0048098A">
        <w:rPr>
          <w:rFonts w:ascii="Georgia" w:hAnsi="Georgia"/>
          <w:sz w:val="20"/>
          <w:szCs w:val="20"/>
        </w:rPr>
        <w:t>re transparent</w:t>
      </w:r>
      <w:r w:rsidR="00A430FF">
        <w:rPr>
          <w:rFonts w:ascii="Georgia" w:hAnsi="Georgia"/>
          <w:sz w:val="20"/>
          <w:szCs w:val="20"/>
        </w:rPr>
        <w:t>,</w:t>
      </w:r>
      <w:r w:rsidR="0048098A">
        <w:rPr>
          <w:rFonts w:ascii="Georgia" w:hAnsi="Georgia"/>
          <w:sz w:val="20"/>
          <w:szCs w:val="20"/>
        </w:rPr>
        <w:t xml:space="preserve"> the registration</w:t>
      </w:r>
      <w:r w:rsidR="00102E87">
        <w:rPr>
          <w:rFonts w:ascii="Georgia" w:hAnsi="Georgia"/>
          <w:sz w:val="20"/>
          <w:szCs w:val="20"/>
        </w:rPr>
        <w:t xml:space="preserve"> fee is no longer based on the </w:t>
      </w:r>
      <w:r>
        <w:rPr>
          <w:rFonts w:ascii="Georgia" w:hAnsi="Georgia"/>
          <w:sz w:val="20"/>
          <w:szCs w:val="20"/>
        </w:rPr>
        <w:t>insurance policy</w:t>
      </w:r>
      <w:r w:rsidR="00E26CBB">
        <w:rPr>
          <w:rFonts w:ascii="Georgia" w:hAnsi="Georgia"/>
          <w:sz w:val="20"/>
          <w:szCs w:val="20"/>
        </w:rPr>
        <w:t xml:space="preserve">. </w:t>
      </w:r>
      <w:r w:rsidR="00616692">
        <w:rPr>
          <w:rFonts w:ascii="Georgia" w:hAnsi="Georgia"/>
          <w:sz w:val="20"/>
          <w:szCs w:val="20"/>
        </w:rPr>
        <w:t>T</w:t>
      </w:r>
      <w:r w:rsidR="00A430FF">
        <w:rPr>
          <w:rFonts w:ascii="Georgia" w:hAnsi="Georgia"/>
          <w:sz w:val="20"/>
          <w:szCs w:val="20"/>
        </w:rPr>
        <w:t>he registration fee is</w:t>
      </w:r>
      <w:r w:rsidR="00616692">
        <w:rPr>
          <w:rFonts w:ascii="Georgia" w:hAnsi="Georgia"/>
          <w:sz w:val="20"/>
          <w:szCs w:val="20"/>
        </w:rPr>
        <w:t xml:space="preserve"> now</w:t>
      </w:r>
      <w:r w:rsidR="00A430FF">
        <w:rPr>
          <w:rFonts w:ascii="Georgia" w:hAnsi="Georgia"/>
          <w:sz w:val="20"/>
          <w:szCs w:val="20"/>
        </w:rPr>
        <w:t xml:space="preserve"> </w:t>
      </w:r>
      <w:r w:rsidR="00E26CBB">
        <w:rPr>
          <w:rFonts w:ascii="Georgia" w:hAnsi="Georgia"/>
          <w:sz w:val="20"/>
          <w:szCs w:val="20"/>
        </w:rPr>
        <w:t xml:space="preserve">calculated on ship size only. </w:t>
      </w:r>
    </w:p>
    <w:p w:rsidR="002B0BDA" w:rsidRDefault="002B0BDA" w:rsidP="004941FD">
      <w:pPr>
        <w:spacing w:after="0"/>
        <w:jc w:val="both"/>
        <w:rPr>
          <w:rFonts w:ascii="Georgia" w:hAnsi="Georgia"/>
          <w:sz w:val="20"/>
          <w:szCs w:val="20"/>
        </w:rPr>
      </w:pPr>
    </w:p>
    <w:p w:rsidR="00F73F27" w:rsidRDefault="008E4787" w:rsidP="004941FD">
      <w:pPr>
        <w:spacing w:after="0"/>
        <w:jc w:val="both"/>
        <w:rPr>
          <w:rFonts w:ascii="Georgia" w:hAnsi="Georgia"/>
          <w:sz w:val="20"/>
          <w:szCs w:val="20"/>
        </w:rPr>
      </w:pPr>
      <w:bookmarkStart w:id="0" w:name="_GoBack"/>
      <w:r w:rsidRPr="008E4787">
        <w:rPr>
          <w:noProof/>
          <w:szCs w:val="20"/>
          <w:lang w:val="da-DK" w:eastAsia="da-DK"/>
        </w:rPr>
        <w:drawing>
          <wp:inline distT="0" distB="0" distL="0" distR="0">
            <wp:extent cx="5600700" cy="952500"/>
            <wp:effectExtent l="19050" t="0" r="0" b="0"/>
            <wp:docPr id="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50850" w:rsidRDefault="00650850" w:rsidP="00A00206">
      <w:pPr>
        <w:spacing w:after="0"/>
        <w:rPr>
          <w:rFonts w:ascii="Georgia" w:hAnsi="Georgia"/>
          <w:sz w:val="20"/>
          <w:szCs w:val="20"/>
        </w:rPr>
      </w:pPr>
    </w:p>
    <w:p w:rsidR="002B0BDA" w:rsidRDefault="002B0BDA" w:rsidP="004941FD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616692" w:rsidRDefault="00616692" w:rsidP="004941FD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A00206" w:rsidRDefault="00A00206" w:rsidP="004941FD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A00206" w:rsidRDefault="00A00206" w:rsidP="004941FD">
      <w:p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A46476" w:rsidRPr="009D3FD9" w:rsidRDefault="00A46476" w:rsidP="004941FD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9D3FD9">
        <w:rPr>
          <w:rFonts w:ascii="Georgia" w:hAnsi="Georgia"/>
          <w:b/>
          <w:sz w:val="20"/>
          <w:szCs w:val="20"/>
        </w:rPr>
        <w:t xml:space="preserve">During the last years the Faroese Maritime Authority </w:t>
      </w:r>
      <w:r w:rsidR="002E368F" w:rsidRPr="009D3FD9">
        <w:rPr>
          <w:rFonts w:ascii="Georgia" w:hAnsi="Georgia"/>
          <w:b/>
          <w:sz w:val="20"/>
          <w:szCs w:val="20"/>
        </w:rPr>
        <w:t xml:space="preserve">has, </w:t>
      </w:r>
      <w:r w:rsidRPr="009D3FD9">
        <w:rPr>
          <w:rFonts w:ascii="Georgia" w:hAnsi="Georgia"/>
          <w:b/>
          <w:sz w:val="20"/>
          <w:szCs w:val="20"/>
        </w:rPr>
        <w:t xml:space="preserve">in </w:t>
      </w:r>
      <w:r w:rsidR="002E368F" w:rsidRPr="009D3FD9">
        <w:rPr>
          <w:rFonts w:ascii="Georgia" w:hAnsi="Georgia"/>
          <w:b/>
          <w:sz w:val="20"/>
          <w:szCs w:val="20"/>
        </w:rPr>
        <w:t xml:space="preserve">close </w:t>
      </w:r>
      <w:r w:rsidRPr="009D3FD9">
        <w:rPr>
          <w:rFonts w:ascii="Georgia" w:hAnsi="Georgia"/>
          <w:b/>
          <w:sz w:val="20"/>
          <w:szCs w:val="20"/>
        </w:rPr>
        <w:t>co-operation with the shipowners</w:t>
      </w:r>
      <w:r w:rsidR="002E368F" w:rsidRPr="009D3FD9">
        <w:rPr>
          <w:rFonts w:ascii="Georgia" w:hAnsi="Georgia"/>
          <w:b/>
          <w:sz w:val="20"/>
          <w:szCs w:val="20"/>
        </w:rPr>
        <w:t>,</w:t>
      </w:r>
      <w:r w:rsidRPr="009D3FD9">
        <w:rPr>
          <w:rFonts w:ascii="Georgia" w:hAnsi="Georgia"/>
          <w:b/>
          <w:sz w:val="20"/>
          <w:szCs w:val="20"/>
        </w:rPr>
        <w:t xml:space="preserve"> intensified its work on improving FAS ships’ performances on Port State Controls in order to improve the Faroese flag’ position on the Paris MoU List of Port State Control. Th</w:t>
      </w:r>
      <w:r w:rsidR="00CB1802">
        <w:rPr>
          <w:rFonts w:ascii="Georgia" w:hAnsi="Georgia"/>
          <w:b/>
          <w:sz w:val="20"/>
          <w:szCs w:val="20"/>
        </w:rPr>
        <w:t>is has resulted in th</w:t>
      </w:r>
      <w:r w:rsidRPr="009D3FD9">
        <w:rPr>
          <w:rFonts w:ascii="Georgia" w:hAnsi="Georgia"/>
          <w:b/>
          <w:sz w:val="20"/>
          <w:szCs w:val="20"/>
        </w:rPr>
        <w:t xml:space="preserve">e Faroese flag </w:t>
      </w:r>
      <w:r w:rsidR="00CB1802">
        <w:rPr>
          <w:rFonts w:ascii="Georgia" w:hAnsi="Georgia"/>
          <w:b/>
          <w:sz w:val="20"/>
          <w:szCs w:val="20"/>
        </w:rPr>
        <w:t xml:space="preserve">consistingly climbing the Grey List. It is </w:t>
      </w:r>
      <w:r w:rsidRPr="009D3FD9">
        <w:rPr>
          <w:rFonts w:ascii="Georgia" w:hAnsi="Georgia"/>
          <w:b/>
          <w:sz w:val="20"/>
          <w:szCs w:val="20"/>
        </w:rPr>
        <w:t xml:space="preserve">our goal </w:t>
      </w:r>
      <w:r w:rsidR="00CB1802">
        <w:rPr>
          <w:rFonts w:ascii="Georgia" w:hAnsi="Georgia"/>
          <w:b/>
          <w:sz w:val="20"/>
          <w:szCs w:val="20"/>
        </w:rPr>
        <w:t>to</w:t>
      </w:r>
      <w:r w:rsidRPr="009D3FD9">
        <w:rPr>
          <w:rFonts w:ascii="Georgia" w:hAnsi="Georgia"/>
          <w:b/>
          <w:sz w:val="20"/>
          <w:szCs w:val="20"/>
        </w:rPr>
        <w:t xml:space="preserve"> enter the White List in 2011. </w:t>
      </w:r>
    </w:p>
    <w:p w:rsidR="003E7DA5" w:rsidRDefault="003E7DA5" w:rsidP="004941FD">
      <w:pPr>
        <w:spacing w:after="0"/>
        <w:jc w:val="both"/>
        <w:rPr>
          <w:rFonts w:ascii="Georgia" w:hAnsi="Georgia"/>
          <w:sz w:val="20"/>
          <w:szCs w:val="20"/>
        </w:rPr>
      </w:pPr>
    </w:p>
    <w:p w:rsidR="00557F98" w:rsidRDefault="00174ABF" w:rsidP="00650850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Introduction of</w:t>
      </w:r>
      <w:r w:rsidR="0048098A" w:rsidRPr="0048098A">
        <w:rPr>
          <w:rFonts w:ascii="Georgia" w:hAnsi="Georgia"/>
          <w:b/>
          <w:sz w:val="24"/>
          <w:szCs w:val="24"/>
        </w:rPr>
        <w:t xml:space="preserve"> annual fees </w:t>
      </w:r>
    </w:p>
    <w:p w:rsidR="00616692" w:rsidRDefault="0048098A" w:rsidP="00650850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1st of July 2010 annual fees were levied on FAS ship</w:t>
      </w:r>
      <w:r w:rsidR="006110F0">
        <w:rPr>
          <w:rFonts w:ascii="Georgia" w:hAnsi="Georgia"/>
          <w:sz w:val="20"/>
          <w:szCs w:val="20"/>
        </w:rPr>
        <w:t>s.</w:t>
      </w:r>
      <w:r w:rsidR="00F73F27">
        <w:rPr>
          <w:rFonts w:ascii="Georgia" w:hAnsi="Georgia"/>
          <w:sz w:val="20"/>
          <w:szCs w:val="20"/>
        </w:rPr>
        <w:t xml:space="preserve"> </w:t>
      </w:r>
    </w:p>
    <w:p w:rsidR="00A46476" w:rsidRPr="00EC7EF9" w:rsidRDefault="00E26CBB" w:rsidP="00650850">
      <w:pPr>
        <w:spacing w:after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The annual fees</w:t>
      </w:r>
      <w:r w:rsidR="00A46476">
        <w:rPr>
          <w:rFonts w:ascii="Georgia" w:hAnsi="Georgia"/>
          <w:sz w:val="20"/>
          <w:szCs w:val="20"/>
        </w:rPr>
        <w:t xml:space="preserve"> </w:t>
      </w:r>
      <w:r w:rsidR="00174ABF">
        <w:rPr>
          <w:rFonts w:ascii="Georgia" w:hAnsi="Georgia"/>
          <w:sz w:val="20"/>
          <w:szCs w:val="20"/>
        </w:rPr>
        <w:t xml:space="preserve">now levied on FAS ships will </w:t>
      </w:r>
      <w:r w:rsidR="00A46476">
        <w:rPr>
          <w:rFonts w:ascii="Georgia" w:hAnsi="Georgia"/>
          <w:sz w:val="20"/>
          <w:szCs w:val="20"/>
        </w:rPr>
        <w:t xml:space="preserve">help financing an upgrade of the legal and surveying departments </w:t>
      </w:r>
      <w:r w:rsidR="0048098A">
        <w:rPr>
          <w:rFonts w:ascii="Georgia" w:hAnsi="Georgia"/>
          <w:sz w:val="20"/>
          <w:szCs w:val="20"/>
        </w:rPr>
        <w:t>of FMA</w:t>
      </w:r>
      <w:r w:rsidR="00174ABF">
        <w:rPr>
          <w:rFonts w:ascii="Georgia" w:hAnsi="Georgia"/>
          <w:sz w:val="20"/>
          <w:szCs w:val="20"/>
        </w:rPr>
        <w:t xml:space="preserve"> in order</w:t>
      </w:r>
      <w:r w:rsidR="0048098A">
        <w:rPr>
          <w:rFonts w:ascii="Georgia" w:hAnsi="Georgia"/>
          <w:sz w:val="20"/>
          <w:szCs w:val="20"/>
        </w:rPr>
        <w:t xml:space="preserve"> </w:t>
      </w:r>
      <w:r w:rsidR="00A46476">
        <w:rPr>
          <w:rFonts w:ascii="Georgia" w:hAnsi="Georgia"/>
          <w:sz w:val="20"/>
          <w:szCs w:val="20"/>
        </w:rPr>
        <w:t xml:space="preserve">to further develop our service level </w:t>
      </w:r>
      <w:r w:rsidR="00CB1802">
        <w:rPr>
          <w:rFonts w:ascii="Georgia" w:hAnsi="Georgia"/>
          <w:sz w:val="20"/>
          <w:szCs w:val="20"/>
        </w:rPr>
        <w:t xml:space="preserve">and commitment </w:t>
      </w:r>
      <w:r w:rsidR="00A46476">
        <w:rPr>
          <w:rFonts w:ascii="Georgia" w:hAnsi="Georgia"/>
          <w:sz w:val="20"/>
          <w:szCs w:val="20"/>
        </w:rPr>
        <w:t>towards shipowners and authorities.</w:t>
      </w:r>
    </w:p>
    <w:p w:rsidR="00174ABF" w:rsidRDefault="00174ABF" w:rsidP="00650850">
      <w:pPr>
        <w:spacing w:after="0"/>
        <w:rPr>
          <w:rFonts w:ascii="Georgia" w:hAnsi="Georgia"/>
          <w:sz w:val="20"/>
          <w:szCs w:val="20"/>
        </w:rPr>
      </w:pPr>
    </w:p>
    <w:p w:rsidR="000D137B" w:rsidRDefault="00E26CBB" w:rsidP="00650850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The size of the annual fee is </w:t>
      </w:r>
      <w:r w:rsidR="00892E57">
        <w:rPr>
          <w:rFonts w:ascii="Georgia" w:hAnsi="Georgia"/>
          <w:sz w:val="20"/>
          <w:szCs w:val="20"/>
        </w:rPr>
        <w:t xml:space="preserve">composed of </w:t>
      </w:r>
      <w:r w:rsidR="00CB1802" w:rsidRPr="00557F98">
        <w:rPr>
          <w:rFonts w:ascii="Georgia" w:hAnsi="Georgia"/>
          <w:i/>
          <w:sz w:val="20"/>
          <w:szCs w:val="20"/>
        </w:rPr>
        <w:t xml:space="preserve">a basic fee of DKK 15,000 </w:t>
      </w:r>
      <w:r w:rsidR="00557F98">
        <w:rPr>
          <w:rFonts w:ascii="Georgia" w:hAnsi="Georgia"/>
          <w:i/>
          <w:sz w:val="20"/>
          <w:szCs w:val="20"/>
        </w:rPr>
        <w:t>+</w:t>
      </w:r>
      <w:r w:rsidR="00CB1802" w:rsidRPr="00557F98">
        <w:rPr>
          <w:rFonts w:ascii="Georgia" w:hAnsi="Georgia"/>
          <w:i/>
          <w:sz w:val="20"/>
          <w:szCs w:val="20"/>
        </w:rPr>
        <w:t xml:space="preserve"> </w:t>
      </w:r>
      <w:r w:rsidR="00892E57" w:rsidRPr="00557F98">
        <w:rPr>
          <w:rFonts w:ascii="Georgia" w:hAnsi="Georgia"/>
          <w:i/>
          <w:sz w:val="20"/>
          <w:szCs w:val="20"/>
        </w:rPr>
        <w:t>(</w:t>
      </w:r>
      <w:r w:rsidR="00CB1802" w:rsidRPr="00557F98">
        <w:rPr>
          <w:rFonts w:ascii="Georgia" w:hAnsi="Georgia"/>
          <w:i/>
          <w:sz w:val="20"/>
          <w:szCs w:val="20"/>
        </w:rPr>
        <w:t>GT x GT factor</w:t>
      </w:r>
      <w:r w:rsidR="00892E57" w:rsidRPr="00557F98">
        <w:rPr>
          <w:rFonts w:ascii="Georgia" w:hAnsi="Georgia"/>
          <w:i/>
          <w:sz w:val="20"/>
          <w:szCs w:val="20"/>
        </w:rPr>
        <w:t>)</w:t>
      </w:r>
      <w:r w:rsidR="00CB1802" w:rsidRPr="00557F98">
        <w:rPr>
          <w:rFonts w:ascii="Georgia" w:hAnsi="Georgia"/>
          <w:i/>
          <w:sz w:val="20"/>
          <w:szCs w:val="20"/>
        </w:rPr>
        <w:t xml:space="preserve"> </w:t>
      </w:r>
      <w:r w:rsidR="00557F98">
        <w:rPr>
          <w:rFonts w:ascii="Georgia" w:hAnsi="Georgia"/>
          <w:i/>
          <w:sz w:val="20"/>
          <w:szCs w:val="20"/>
        </w:rPr>
        <w:t>x</w:t>
      </w:r>
      <w:r w:rsidR="00CB1802" w:rsidRPr="00557F98">
        <w:rPr>
          <w:rFonts w:ascii="Georgia" w:hAnsi="Georgia"/>
          <w:i/>
          <w:sz w:val="20"/>
          <w:szCs w:val="20"/>
        </w:rPr>
        <w:t xml:space="preserve"> percentage</w:t>
      </w:r>
      <w:r w:rsidR="00CB1802">
        <w:rPr>
          <w:rFonts w:ascii="Georgia" w:hAnsi="Georgia"/>
          <w:sz w:val="20"/>
          <w:szCs w:val="20"/>
        </w:rPr>
        <w:t xml:space="preserve"> </w:t>
      </w:r>
      <w:r w:rsidR="00892E57">
        <w:rPr>
          <w:rFonts w:ascii="Georgia" w:hAnsi="Georgia"/>
          <w:sz w:val="20"/>
          <w:szCs w:val="20"/>
        </w:rPr>
        <w:t xml:space="preserve"> </w:t>
      </w:r>
      <w:r w:rsidR="00CB1802" w:rsidRPr="00557F98">
        <w:rPr>
          <w:rFonts w:ascii="Georgia" w:hAnsi="Georgia"/>
          <w:i/>
          <w:sz w:val="20"/>
          <w:szCs w:val="20"/>
        </w:rPr>
        <w:t>fee</w:t>
      </w:r>
      <w:r w:rsidR="00CB1802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calculated on the ship </w:t>
      </w:r>
      <w:r w:rsidR="00FB2D59">
        <w:rPr>
          <w:rFonts w:ascii="Georgia" w:hAnsi="Georgia"/>
          <w:sz w:val="20"/>
          <w:szCs w:val="20"/>
        </w:rPr>
        <w:t>gross tonnag</w:t>
      </w:r>
      <w:r>
        <w:rPr>
          <w:rFonts w:ascii="Georgia" w:hAnsi="Georgia"/>
          <w:sz w:val="20"/>
          <w:szCs w:val="20"/>
        </w:rPr>
        <w:t xml:space="preserve">e and </w:t>
      </w:r>
      <w:r w:rsidR="00FB2D59">
        <w:rPr>
          <w:rFonts w:ascii="Georgia" w:hAnsi="Georgia"/>
          <w:sz w:val="20"/>
          <w:szCs w:val="20"/>
        </w:rPr>
        <w:t>ag</w:t>
      </w:r>
      <w:r w:rsidR="00CE26F9">
        <w:rPr>
          <w:rFonts w:ascii="Georgia" w:hAnsi="Georgia"/>
          <w:sz w:val="20"/>
          <w:szCs w:val="20"/>
        </w:rPr>
        <w:t>e.</w:t>
      </w:r>
      <w:r>
        <w:rPr>
          <w:rFonts w:ascii="Georgia" w:hAnsi="Georgia"/>
          <w:sz w:val="20"/>
          <w:szCs w:val="20"/>
        </w:rPr>
        <w:t xml:space="preserve"> </w:t>
      </w:r>
    </w:p>
    <w:p w:rsidR="009C1873" w:rsidRDefault="009C1873" w:rsidP="00650850">
      <w:pPr>
        <w:spacing w:after="0"/>
        <w:rPr>
          <w:rFonts w:ascii="Georgia" w:hAnsi="Georgia"/>
          <w:sz w:val="20"/>
          <w:szCs w:val="20"/>
        </w:rPr>
      </w:pPr>
    </w:p>
    <w:p w:rsidR="00EC7C96" w:rsidRDefault="00EC7C96" w:rsidP="009B65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EC7C96" w:rsidRDefault="00EC7C96" w:rsidP="009B65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  <w:sectPr w:rsidR="00EC7C96" w:rsidSect="003D33C3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pgBorders w:offsetFrom="page">
            <w:top w:val="single" w:sz="8" w:space="24" w:color="002060"/>
            <w:left w:val="single" w:sz="8" w:space="24" w:color="002060"/>
            <w:bottom w:val="single" w:sz="8" w:space="24" w:color="002060"/>
            <w:right w:val="single" w:sz="8" w:space="24" w:color="002060"/>
          </w:pgBorders>
          <w:cols w:space="708"/>
          <w:docGrid w:linePitch="360"/>
        </w:sect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9B6588" w:rsidRPr="009B6588" w:rsidTr="00BD5F8D">
        <w:trPr>
          <w:jc w:val="center"/>
        </w:trPr>
        <w:tc>
          <w:tcPr>
            <w:tcW w:w="3024" w:type="dxa"/>
            <w:gridSpan w:val="2"/>
            <w:shd w:val="clear" w:color="auto" w:fill="B8CCE4" w:themeFill="accent1" w:themeFillTint="66"/>
            <w:vAlign w:val="center"/>
          </w:tcPr>
          <w:p w:rsidR="009B6588" w:rsidRPr="00BD5F8D" w:rsidRDefault="00E51027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Gross Tonnage</w:t>
            </w:r>
            <w:r w:rsidR="009B6588" w:rsidRPr="00BD5F8D">
              <w:rPr>
                <w:rFonts w:cstheme="minorHAnsi"/>
                <w:b/>
              </w:rPr>
              <w:t xml:space="preserve"> (GT)</w:t>
            </w:r>
          </w:p>
        </w:tc>
        <w:tc>
          <w:tcPr>
            <w:tcW w:w="1512" w:type="dxa"/>
            <w:vMerge w:val="restart"/>
            <w:shd w:val="clear" w:color="auto" w:fill="B8CCE4" w:themeFill="accent1" w:themeFillTint="66"/>
            <w:vAlign w:val="center"/>
          </w:tcPr>
          <w:p w:rsidR="009B6588" w:rsidRPr="00BD5F8D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D5F8D">
              <w:rPr>
                <w:rFonts w:cstheme="minorHAnsi"/>
                <w:b/>
              </w:rPr>
              <w:t>DKK per GT</w:t>
            </w:r>
          </w:p>
        </w:tc>
      </w:tr>
      <w:tr w:rsidR="009B6588" w:rsidRPr="009B6588" w:rsidTr="00BD5F8D">
        <w:trPr>
          <w:jc w:val="center"/>
        </w:trPr>
        <w:tc>
          <w:tcPr>
            <w:tcW w:w="1512" w:type="dxa"/>
            <w:shd w:val="clear" w:color="auto" w:fill="B8CCE4" w:themeFill="accent1" w:themeFillTint="66"/>
            <w:vAlign w:val="center"/>
          </w:tcPr>
          <w:p w:rsidR="009B6588" w:rsidRPr="00BD5F8D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D5F8D">
              <w:rPr>
                <w:rFonts w:cstheme="minorHAnsi"/>
                <w:b/>
              </w:rPr>
              <w:t>From</w:t>
            </w:r>
          </w:p>
        </w:tc>
        <w:tc>
          <w:tcPr>
            <w:tcW w:w="1512" w:type="dxa"/>
            <w:shd w:val="clear" w:color="auto" w:fill="B8CCE4" w:themeFill="accent1" w:themeFillTint="66"/>
            <w:vAlign w:val="center"/>
          </w:tcPr>
          <w:p w:rsidR="009B6588" w:rsidRPr="00BD5F8D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D5F8D">
              <w:rPr>
                <w:rFonts w:cstheme="minorHAnsi"/>
                <w:b/>
              </w:rPr>
              <w:t>To</w:t>
            </w:r>
          </w:p>
        </w:tc>
        <w:tc>
          <w:tcPr>
            <w:tcW w:w="1512" w:type="dxa"/>
            <w:vMerge/>
            <w:shd w:val="clear" w:color="auto" w:fill="B8CCE4" w:themeFill="accent1" w:themeFillTint="66"/>
          </w:tcPr>
          <w:p w:rsidR="009B6588" w:rsidRPr="00BD5F8D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B6588" w:rsidRPr="009B6588" w:rsidTr="00E2608B">
        <w:trPr>
          <w:jc w:val="center"/>
        </w:trPr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 xml:space="preserve">         0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3,000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1.3</w:t>
            </w:r>
          </w:p>
        </w:tc>
      </w:tr>
      <w:tr w:rsidR="009B6588" w:rsidRPr="009B6588" w:rsidTr="00E2608B">
        <w:trPr>
          <w:jc w:val="center"/>
        </w:trPr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B6588">
              <w:rPr>
                <w:rFonts w:cstheme="minorHAnsi"/>
              </w:rPr>
              <w:t xml:space="preserve">         3,001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7,500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1.0</w:t>
            </w:r>
          </w:p>
        </w:tc>
      </w:tr>
      <w:tr w:rsidR="009B6588" w:rsidRPr="009B6588" w:rsidTr="00E2608B">
        <w:trPr>
          <w:jc w:val="center"/>
        </w:trPr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B6588">
              <w:rPr>
                <w:rFonts w:cstheme="minorHAnsi"/>
              </w:rPr>
              <w:t xml:space="preserve">         7,501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B6588">
              <w:rPr>
                <w:rFonts w:cstheme="minorHAnsi"/>
              </w:rPr>
              <w:t xml:space="preserve">      24,000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0.7</w:t>
            </w:r>
          </w:p>
        </w:tc>
      </w:tr>
      <w:tr w:rsidR="009B6588" w:rsidRPr="009B6588" w:rsidTr="00E2608B">
        <w:trPr>
          <w:jc w:val="center"/>
        </w:trPr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24,001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B6588">
              <w:rPr>
                <w:rFonts w:cstheme="minorHAnsi"/>
              </w:rPr>
              <w:t xml:space="preserve">      30,000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0.5</w:t>
            </w:r>
          </w:p>
        </w:tc>
      </w:tr>
      <w:tr w:rsidR="009B6588" w:rsidRPr="009B6588" w:rsidTr="00E2608B">
        <w:trPr>
          <w:jc w:val="center"/>
        </w:trPr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30,001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B6588">
              <w:rPr>
                <w:rFonts w:cstheme="minorHAnsi"/>
              </w:rPr>
              <w:t xml:space="preserve">      45,000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0.4</w:t>
            </w:r>
          </w:p>
        </w:tc>
      </w:tr>
      <w:tr w:rsidR="009B6588" w:rsidRPr="009B6588" w:rsidTr="00E2608B">
        <w:trPr>
          <w:jc w:val="center"/>
        </w:trPr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45,001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And above</w:t>
            </w:r>
          </w:p>
        </w:tc>
        <w:tc>
          <w:tcPr>
            <w:tcW w:w="1512" w:type="dxa"/>
            <w:vAlign w:val="center"/>
          </w:tcPr>
          <w:p w:rsidR="009B6588" w:rsidRPr="009B6588" w:rsidRDefault="009B6588" w:rsidP="00EC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9B6588">
              <w:rPr>
                <w:rFonts w:cstheme="minorHAnsi"/>
              </w:rPr>
              <w:t>0.3</w:t>
            </w:r>
          </w:p>
        </w:tc>
      </w:tr>
    </w:tbl>
    <w:p w:rsidR="00A46476" w:rsidRDefault="00A46476" w:rsidP="009B6588">
      <w:pPr>
        <w:spacing w:after="0"/>
        <w:jc w:val="center"/>
        <w:rPr>
          <w:rFonts w:ascii="Georgia" w:hAnsi="Georgia"/>
          <w:sz w:val="20"/>
          <w:szCs w:val="20"/>
        </w:rPr>
      </w:pPr>
    </w:p>
    <w:tbl>
      <w:tblPr>
        <w:tblStyle w:val="Tabel-Gitter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BD5F8D" w:rsidRPr="00BD5F8D" w:rsidTr="00E51027">
        <w:tc>
          <w:tcPr>
            <w:tcW w:w="4536" w:type="dxa"/>
            <w:gridSpan w:val="3"/>
            <w:shd w:val="clear" w:color="auto" w:fill="B8CCE4" w:themeFill="accent1" w:themeFillTint="66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D5F8D">
              <w:rPr>
                <w:rFonts w:cstheme="minorHAnsi"/>
                <w:b/>
              </w:rPr>
              <w:t>Percentage based on age</w:t>
            </w:r>
          </w:p>
        </w:tc>
      </w:tr>
      <w:tr w:rsidR="00BD5F8D" w:rsidRPr="00BD5F8D" w:rsidTr="00E51027">
        <w:tc>
          <w:tcPr>
            <w:tcW w:w="1512" w:type="dxa"/>
            <w:shd w:val="clear" w:color="auto" w:fill="B8CCE4" w:themeFill="accent1" w:themeFillTint="66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D5F8D">
              <w:rPr>
                <w:rFonts w:cstheme="minorHAnsi"/>
                <w:b/>
              </w:rPr>
              <w:t>From</w:t>
            </w:r>
          </w:p>
        </w:tc>
        <w:tc>
          <w:tcPr>
            <w:tcW w:w="1512" w:type="dxa"/>
            <w:shd w:val="clear" w:color="auto" w:fill="B8CCE4" w:themeFill="accent1" w:themeFillTint="66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D5F8D">
              <w:rPr>
                <w:rFonts w:cstheme="minorHAnsi"/>
                <w:b/>
              </w:rPr>
              <w:t>To</w:t>
            </w:r>
          </w:p>
        </w:tc>
        <w:tc>
          <w:tcPr>
            <w:tcW w:w="1512" w:type="dxa"/>
            <w:shd w:val="clear" w:color="auto" w:fill="B8CCE4" w:themeFill="accent1" w:themeFillTint="66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D5F8D">
              <w:rPr>
                <w:rFonts w:cstheme="minorHAnsi"/>
                <w:b/>
              </w:rPr>
              <w:t>%</w:t>
            </w:r>
          </w:p>
        </w:tc>
      </w:tr>
      <w:tr w:rsidR="00BD5F8D" w:rsidRPr="00BD5F8D" w:rsidTr="00E51027"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D5F8D">
              <w:rPr>
                <w:rFonts w:cstheme="minorHAnsi"/>
              </w:rPr>
              <w:t xml:space="preserve">             0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D5F8D">
              <w:rPr>
                <w:rFonts w:cstheme="minorHAnsi"/>
              </w:rPr>
              <w:t xml:space="preserve">             4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 xml:space="preserve">  0</w:t>
            </w:r>
          </w:p>
        </w:tc>
      </w:tr>
      <w:tr w:rsidR="00BD5F8D" w:rsidRPr="00BD5F8D" w:rsidTr="00E51027"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D5F8D">
              <w:rPr>
                <w:rFonts w:cstheme="minorHAnsi"/>
              </w:rPr>
              <w:t xml:space="preserve">             5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D5F8D">
              <w:rPr>
                <w:rFonts w:cstheme="minorHAnsi"/>
              </w:rPr>
              <w:t xml:space="preserve">             9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 xml:space="preserve">  5</w:t>
            </w:r>
          </w:p>
        </w:tc>
      </w:tr>
      <w:tr w:rsidR="00BD5F8D" w:rsidRPr="00BD5F8D" w:rsidTr="00E51027"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10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14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10</w:t>
            </w:r>
          </w:p>
        </w:tc>
      </w:tr>
      <w:tr w:rsidR="00BD5F8D" w:rsidRPr="00BD5F8D" w:rsidTr="00E51027"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15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19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15</w:t>
            </w:r>
          </w:p>
        </w:tc>
      </w:tr>
      <w:tr w:rsidR="00BD5F8D" w:rsidRPr="00BD5F8D" w:rsidTr="00E51027"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20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24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20</w:t>
            </w:r>
          </w:p>
        </w:tc>
      </w:tr>
      <w:tr w:rsidR="00BD5F8D" w:rsidRPr="00BD5F8D" w:rsidTr="00E51027"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25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29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50</w:t>
            </w:r>
          </w:p>
        </w:tc>
      </w:tr>
      <w:tr w:rsidR="00BD5F8D" w:rsidRPr="00BD5F8D" w:rsidTr="00E51027"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30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49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75</w:t>
            </w:r>
          </w:p>
        </w:tc>
      </w:tr>
      <w:tr w:rsidR="00BD5F8D" w:rsidRPr="00BD5F8D" w:rsidTr="00E51027"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50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D5F8D">
              <w:rPr>
                <w:rFonts w:cstheme="minorHAnsi"/>
              </w:rPr>
              <w:t>And above</w:t>
            </w:r>
          </w:p>
        </w:tc>
        <w:tc>
          <w:tcPr>
            <w:tcW w:w="1512" w:type="dxa"/>
            <w:vAlign w:val="center"/>
          </w:tcPr>
          <w:p w:rsidR="00BD5F8D" w:rsidRPr="00BD5F8D" w:rsidRDefault="00BD5F8D" w:rsidP="00E510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D5F8D">
              <w:rPr>
                <w:rFonts w:cstheme="minorHAnsi"/>
              </w:rPr>
              <w:t xml:space="preserve">         100</w:t>
            </w:r>
          </w:p>
        </w:tc>
      </w:tr>
    </w:tbl>
    <w:p w:rsidR="007F7D99" w:rsidRDefault="00E51027" w:rsidP="007F7D99">
      <w:pPr>
        <w:rPr>
          <w:rFonts w:ascii="Georgia" w:hAnsi="Georgia"/>
          <w:noProof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br w:type="textWrapping" w:clear="all"/>
      </w:r>
    </w:p>
    <w:p w:rsidR="00E51027" w:rsidRDefault="001744C9" w:rsidP="00AE3BCD">
      <w:pPr>
        <w:ind w:left="-22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</w:t>
      </w:r>
      <w:r w:rsidR="00AE3BCD">
        <w:rPr>
          <w:rFonts w:ascii="Georgia" w:hAnsi="Georgia"/>
          <w:sz w:val="20"/>
          <w:szCs w:val="20"/>
        </w:rPr>
        <w:t xml:space="preserve">Below are shown examples </w:t>
      </w:r>
      <w:r w:rsidR="00D90ECA">
        <w:rPr>
          <w:rFonts w:ascii="Georgia" w:hAnsi="Georgia"/>
          <w:sz w:val="20"/>
          <w:szCs w:val="20"/>
        </w:rPr>
        <w:t>of annual fee for</w:t>
      </w:r>
      <w:r w:rsidR="00AE3BCD">
        <w:rPr>
          <w:rFonts w:ascii="Georgia" w:hAnsi="Georgia"/>
          <w:sz w:val="20"/>
          <w:szCs w:val="20"/>
        </w:rPr>
        <w:t xml:space="preserve"> three  vessels – different size and age</w:t>
      </w:r>
    </w:p>
    <w:tbl>
      <w:tblPr>
        <w:tblW w:w="9338" w:type="dxa"/>
        <w:tblInd w:w="93" w:type="dxa"/>
        <w:tblLook w:val="04A0" w:firstRow="1" w:lastRow="0" w:firstColumn="1" w:lastColumn="0" w:noHBand="0" w:noVBand="1"/>
      </w:tblPr>
      <w:tblGrid>
        <w:gridCol w:w="969"/>
        <w:gridCol w:w="803"/>
        <w:gridCol w:w="886"/>
        <w:gridCol w:w="757"/>
        <w:gridCol w:w="1014"/>
        <w:gridCol w:w="369"/>
        <w:gridCol w:w="1494"/>
        <w:gridCol w:w="316"/>
        <w:gridCol w:w="1538"/>
        <w:gridCol w:w="1192"/>
      </w:tblGrid>
      <w:tr w:rsidR="00AE3BCD" w:rsidRPr="00AE3BCD" w:rsidTr="00E5722F">
        <w:trPr>
          <w:trHeight w:val="196"/>
        </w:trPr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Gross tonnage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 xml:space="preserve">Built 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b/>
                <w:bCs/>
                <w:color w:val="000000"/>
              </w:rPr>
            </w:pPr>
            <w:r w:rsidRPr="00AE3BCD">
              <w:rPr>
                <w:b/>
                <w:bCs/>
                <w:color w:val="000000"/>
              </w:rPr>
              <w:t xml:space="preserve">Years 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rPr>
                <w:b/>
                <w:bCs/>
                <w:color w:val="000000"/>
              </w:rPr>
            </w:pPr>
            <w:r w:rsidRPr="00AE3BCD">
              <w:rPr>
                <w:b/>
                <w:bCs/>
                <w:color w:val="000000"/>
              </w:rPr>
              <w:t>Basic fee</w:t>
            </w:r>
          </w:p>
        </w:tc>
        <w:tc>
          <w:tcPr>
            <w:tcW w:w="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rPr>
                <w:b/>
                <w:bCs/>
                <w:color w:val="000000"/>
              </w:rPr>
            </w:pPr>
            <w:r w:rsidRPr="00AE3BCD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 xml:space="preserve">        </w:t>
            </w:r>
            <w:r w:rsidRPr="00AE3BCD">
              <w:rPr>
                <w:b/>
                <w:bCs/>
                <w:color w:val="000000"/>
              </w:rPr>
              <w:t>+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b/>
                <w:bCs/>
                <w:color w:val="000000"/>
              </w:rPr>
            </w:pPr>
            <w:r w:rsidRPr="00AE3BCD">
              <w:rPr>
                <w:b/>
                <w:bCs/>
                <w:color w:val="000000"/>
              </w:rPr>
              <w:t>GT x GT factor</w:t>
            </w:r>
          </w:p>
        </w:tc>
        <w:tc>
          <w:tcPr>
            <w:tcW w:w="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rPr>
                <w:b/>
                <w:bCs/>
                <w:color w:val="000000"/>
              </w:rPr>
            </w:pPr>
            <w:r w:rsidRPr="00AE3BCD">
              <w:rPr>
                <w:b/>
                <w:bCs/>
                <w:color w:val="000000"/>
              </w:rPr>
              <w:t xml:space="preserve">   x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rPr>
                <w:b/>
                <w:bCs/>
                <w:color w:val="000000"/>
              </w:rPr>
            </w:pPr>
            <w:r w:rsidRPr="00AE3BCD">
              <w:rPr>
                <w:b/>
                <w:bCs/>
                <w:color w:val="000000"/>
              </w:rPr>
              <w:t>Percentage fee</w:t>
            </w:r>
          </w:p>
        </w:tc>
        <w:tc>
          <w:tcPr>
            <w:tcW w:w="1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b/>
                <w:bCs/>
                <w:color w:val="000000"/>
              </w:rPr>
            </w:pPr>
            <w:r w:rsidRPr="00AE3BCD">
              <w:rPr>
                <w:b/>
                <w:bCs/>
                <w:color w:val="000000"/>
              </w:rPr>
              <w:t>Annual Fee</w:t>
            </w:r>
          </w:p>
        </w:tc>
      </w:tr>
      <w:tr w:rsidR="00AE3BCD" w:rsidRPr="00AE3BCD" w:rsidTr="00E5722F">
        <w:trPr>
          <w:trHeight w:val="196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Ship GT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1051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2008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15,000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 xml:space="preserve"> 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(1051 x 1,3)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 xml:space="preserve"> 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00206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DKK</w:t>
            </w:r>
            <w:r w:rsidR="00AE3BCD" w:rsidRPr="00AE3BCD">
              <w:rPr>
                <w:color w:val="000000"/>
              </w:rPr>
              <w:t xml:space="preserve"> 16.366</w:t>
            </w:r>
          </w:p>
        </w:tc>
      </w:tr>
      <w:tr w:rsidR="00AE3BCD" w:rsidRPr="00AE3BCD" w:rsidTr="00E5722F">
        <w:trPr>
          <w:trHeight w:val="196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 xml:space="preserve">Ship GT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9382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1994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15,000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 xml:space="preserve"> +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(9382 x 0,7)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 xml:space="preserve"> 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1,15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00206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>DKK</w:t>
            </w:r>
            <w:r w:rsidR="00AE3BCD" w:rsidRPr="00AE3BCD">
              <w:rPr>
                <w:color w:val="000000"/>
              </w:rPr>
              <w:t xml:space="preserve"> 24.803</w:t>
            </w:r>
          </w:p>
        </w:tc>
      </w:tr>
      <w:tr w:rsidR="00AE3BCD" w:rsidRPr="00AE3BCD" w:rsidTr="00E5722F">
        <w:trPr>
          <w:trHeight w:val="249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 xml:space="preserve">Ship GT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35966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2003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15,000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 xml:space="preserve">  +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(35966 x 0,4)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 xml:space="preserve"> x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E3BCD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 w:rsidRPr="00AE3BCD">
              <w:rPr>
                <w:color w:val="000000"/>
              </w:rPr>
              <w:t>1,05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BCD" w:rsidRPr="00AE3BCD" w:rsidRDefault="00A00206" w:rsidP="00E5722F">
            <w:pPr>
              <w:spacing w:after="0" w:line="240" w:lineRule="auto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DKK </w:t>
            </w:r>
            <w:r w:rsidR="00AE3BCD" w:rsidRPr="00AE3BCD">
              <w:rPr>
                <w:color w:val="000000"/>
              </w:rPr>
              <w:t>30.856</w:t>
            </w:r>
          </w:p>
        </w:tc>
      </w:tr>
    </w:tbl>
    <w:p w:rsidR="00AE3BCD" w:rsidRDefault="00AE3BCD" w:rsidP="00AE3BCD">
      <w:pPr>
        <w:ind w:left="-227"/>
        <w:rPr>
          <w:rFonts w:ascii="Georgia" w:hAnsi="Georgia"/>
          <w:sz w:val="20"/>
          <w:szCs w:val="20"/>
        </w:rPr>
      </w:pPr>
    </w:p>
    <w:p w:rsidR="00AE3BCD" w:rsidRDefault="00AE3BCD" w:rsidP="00AE3BCD">
      <w:pPr>
        <w:ind w:left="-227"/>
        <w:rPr>
          <w:rFonts w:ascii="Georgia" w:hAnsi="Georgia"/>
          <w:sz w:val="20"/>
          <w:szCs w:val="20"/>
        </w:rPr>
      </w:pPr>
    </w:p>
    <w:sectPr w:rsidR="00AE3BCD" w:rsidSect="00EC7C96">
      <w:type w:val="continuous"/>
      <w:pgSz w:w="11906" w:h="16838"/>
      <w:pgMar w:top="1440" w:right="1440" w:bottom="1440" w:left="1440" w:header="708" w:footer="708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A50" w:rsidRDefault="00F54A50" w:rsidP="00724683">
      <w:pPr>
        <w:spacing w:after="0" w:line="240" w:lineRule="auto"/>
      </w:pPr>
      <w:r>
        <w:separator/>
      </w:r>
    </w:p>
  </w:endnote>
  <w:endnote w:type="continuationSeparator" w:id="0">
    <w:p w:rsidR="00F54A50" w:rsidRDefault="00F54A50" w:rsidP="0072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32385"/>
      <w:docPartObj>
        <w:docPartGallery w:val="Page Numbers (Bottom of Page)"/>
        <w:docPartUnique/>
      </w:docPartObj>
    </w:sdtPr>
    <w:sdtEndPr/>
    <w:sdtContent>
      <w:p w:rsidR="00FE1A26" w:rsidRDefault="00F54A50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0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1A26" w:rsidRDefault="00FE1A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A50" w:rsidRDefault="00F54A50" w:rsidP="00724683">
      <w:pPr>
        <w:spacing w:after="0" w:line="240" w:lineRule="auto"/>
      </w:pPr>
      <w:r>
        <w:separator/>
      </w:r>
    </w:p>
  </w:footnote>
  <w:footnote w:type="continuationSeparator" w:id="0">
    <w:p w:rsidR="00F54A50" w:rsidRDefault="00F54A50" w:rsidP="0072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A26" w:rsidRDefault="00CE31DD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2130"/>
          <wp:effectExtent l="0" t="0" r="0" b="0"/>
          <wp:wrapNone/>
          <wp:docPr id="2" name="Billede 2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8B"/>
    <w:multiLevelType w:val="hybridMultilevel"/>
    <w:tmpl w:val="47865CE0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3C359A"/>
    <w:multiLevelType w:val="hybridMultilevel"/>
    <w:tmpl w:val="B44C5E26"/>
    <w:lvl w:ilvl="0" w:tplc="E94A6450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D2946"/>
    <w:multiLevelType w:val="hybridMultilevel"/>
    <w:tmpl w:val="536EF9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1216BB"/>
    <w:multiLevelType w:val="hybridMultilevel"/>
    <w:tmpl w:val="2B663FBC"/>
    <w:lvl w:ilvl="0" w:tplc="A3CA13D4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64"/>
    <w:rsid w:val="000A33FC"/>
    <w:rsid w:val="000C6B1C"/>
    <w:rsid w:val="000D137B"/>
    <w:rsid w:val="000D161F"/>
    <w:rsid w:val="000F2896"/>
    <w:rsid w:val="000F72DD"/>
    <w:rsid w:val="001018FC"/>
    <w:rsid w:val="00102E87"/>
    <w:rsid w:val="00117D6C"/>
    <w:rsid w:val="00120660"/>
    <w:rsid w:val="00150A59"/>
    <w:rsid w:val="001744C9"/>
    <w:rsid w:val="00174ABF"/>
    <w:rsid w:val="00197C73"/>
    <w:rsid w:val="001E40DB"/>
    <w:rsid w:val="001F2153"/>
    <w:rsid w:val="00250268"/>
    <w:rsid w:val="0026452C"/>
    <w:rsid w:val="0027698F"/>
    <w:rsid w:val="002828CD"/>
    <w:rsid w:val="002B0BDA"/>
    <w:rsid w:val="002E129C"/>
    <w:rsid w:val="002E368F"/>
    <w:rsid w:val="002F3F16"/>
    <w:rsid w:val="00315395"/>
    <w:rsid w:val="00343468"/>
    <w:rsid w:val="00362005"/>
    <w:rsid w:val="00375B58"/>
    <w:rsid w:val="003856F4"/>
    <w:rsid w:val="0039664A"/>
    <w:rsid w:val="00396855"/>
    <w:rsid w:val="003B6E39"/>
    <w:rsid w:val="003D33C3"/>
    <w:rsid w:val="003E3B81"/>
    <w:rsid w:val="003E4B4F"/>
    <w:rsid w:val="003E7DA5"/>
    <w:rsid w:val="003F497A"/>
    <w:rsid w:val="0040414D"/>
    <w:rsid w:val="00407BD0"/>
    <w:rsid w:val="0048098A"/>
    <w:rsid w:val="004855BE"/>
    <w:rsid w:val="0049296C"/>
    <w:rsid w:val="004941FD"/>
    <w:rsid w:val="004A1DAE"/>
    <w:rsid w:val="004F3664"/>
    <w:rsid w:val="00526764"/>
    <w:rsid w:val="00532AD5"/>
    <w:rsid w:val="005539E8"/>
    <w:rsid w:val="00557F98"/>
    <w:rsid w:val="005638C7"/>
    <w:rsid w:val="00581D3E"/>
    <w:rsid w:val="005A2E8B"/>
    <w:rsid w:val="005A57DD"/>
    <w:rsid w:val="005E1F63"/>
    <w:rsid w:val="005F1970"/>
    <w:rsid w:val="006110F0"/>
    <w:rsid w:val="00616692"/>
    <w:rsid w:val="006446DB"/>
    <w:rsid w:val="00650850"/>
    <w:rsid w:val="006C201A"/>
    <w:rsid w:val="006C44FA"/>
    <w:rsid w:val="006F08F7"/>
    <w:rsid w:val="006F6776"/>
    <w:rsid w:val="00710475"/>
    <w:rsid w:val="00717232"/>
    <w:rsid w:val="00724683"/>
    <w:rsid w:val="00735002"/>
    <w:rsid w:val="0073655B"/>
    <w:rsid w:val="007418B1"/>
    <w:rsid w:val="007527BD"/>
    <w:rsid w:val="007568AE"/>
    <w:rsid w:val="007F7D99"/>
    <w:rsid w:val="00801819"/>
    <w:rsid w:val="00802853"/>
    <w:rsid w:val="00837B7C"/>
    <w:rsid w:val="00840F3A"/>
    <w:rsid w:val="00856067"/>
    <w:rsid w:val="00885074"/>
    <w:rsid w:val="00892E57"/>
    <w:rsid w:val="008A1886"/>
    <w:rsid w:val="008B4B09"/>
    <w:rsid w:val="008B77BF"/>
    <w:rsid w:val="008C3EDF"/>
    <w:rsid w:val="008E4787"/>
    <w:rsid w:val="008F6D7E"/>
    <w:rsid w:val="00913AFA"/>
    <w:rsid w:val="00916D5C"/>
    <w:rsid w:val="00946AA0"/>
    <w:rsid w:val="00955E39"/>
    <w:rsid w:val="009913ED"/>
    <w:rsid w:val="00992A16"/>
    <w:rsid w:val="009B14E4"/>
    <w:rsid w:val="009B6588"/>
    <w:rsid w:val="009C1873"/>
    <w:rsid w:val="009D3FD9"/>
    <w:rsid w:val="009E024B"/>
    <w:rsid w:val="009F68FD"/>
    <w:rsid w:val="00A00206"/>
    <w:rsid w:val="00A032E7"/>
    <w:rsid w:val="00A13A2E"/>
    <w:rsid w:val="00A23BA0"/>
    <w:rsid w:val="00A430FF"/>
    <w:rsid w:val="00A46476"/>
    <w:rsid w:val="00A56A97"/>
    <w:rsid w:val="00AA230E"/>
    <w:rsid w:val="00AB6C65"/>
    <w:rsid w:val="00AC4B7A"/>
    <w:rsid w:val="00AE3BCD"/>
    <w:rsid w:val="00AE55EC"/>
    <w:rsid w:val="00B010B8"/>
    <w:rsid w:val="00B071FA"/>
    <w:rsid w:val="00B1352B"/>
    <w:rsid w:val="00B44603"/>
    <w:rsid w:val="00B560D1"/>
    <w:rsid w:val="00B768E1"/>
    <w:rsid w:val="00BA2242"/>
    <w:rsid w:val="00BA7ECC"/>
    <w:rsid w:val="00BC3D0F"/>
    <w:rsid w:val="00BD5F8D"/>
    <w:rsid w:val="00C1430D"/>
    <w:rsid w:val="00C358F6"/>
    <w:rsid w:val="00C433E8"/>
    <w:rsid w:val="00C5187C"/>
    <w:rsid w:val="00C64834"/>
    <w:rsid w:val="00C81F64"/>
    <w:rsid w:val="00CB1802"/>
    <w:rsid w:val="00CC746B"/>
    <w:rsid w:val="00CE26F9"/>
    <w:rsid w:val="00CE31DD"/>
    <w:rsid w:val="00CF4E69"/>
    <w:rsid w:val="00CF7486"/>
    <w:rsid w:val="00D07E2F"/>
    <w:rsid w:val="00D250D3"/>
    <w:rsid w:val="00D50B03"/>
    <w:rsid w:val="00D8325A"/>
    <w:rsid w:val="00D90ECA"/>
    <w:rsid w:val="00DA452E"/>
    <w:rsid w:val="00DF3DBB"/>
    <w:rsid w:val="00E02FAD"/>
    <w:rsid w:val="00E1107D"/>
    <w:rsid w:val="00E2608B"/>
    <w:rsid w:val="00E26CBB"/>
    <w:rsid w:val="00E51027"/>
    <w:rsid w:val="00E5722F"/>
    <w:rsid w:val="00E64C3E"/>
    <w:rsid w:val="00E66710"/>
    <w:rsid w:val="00E72ACC"/>
    <w:rsid w:val="00E742BC"/>
    <w:rsid w:val="00E927CF"/>
    <w:rsid w:val="00E97C10"/>
    <w:rsid w:val="00EB117B"/>
    <w:rsid w:val="00EC7C96"/>
    <w:rsid w:val="00EC7EF9"/>
    <w:rsid w:val="00EF635B"/>
    <w:rsid w:val="00F54A50"/>
    <w:rsid w:val="00F73DBF"/>
    <w:rsid w:val="00F73F27"/>
    <w:rsid w:val="00F9701F"/>
    <w:rsid w:val="00FB15EA"/>
    <w:rsid w:val="00FB2D59"/>
    <w:rsid w:val="00FC5777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CB5BD-9A3B-48E8-BA46-2D79049F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o-FO" w:eastAsia="fo-F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D0F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2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24683"/>
  </w:style>
  <w:style w:type="paragraph" w:styleId="Sidefod">
    <w:name w:val="footer"/>
    <w:basedOn w:val="Normal"/>
    <w:link w:val="SidefodTegn"/>
    <w:uiPriority w:val="99"/>
    <w:unhideWhenUsed/>
    <w:rsid w:val="0072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46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68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C3EDF"/>
    <w:pPr>
      <w:ind w:left="720"/>
      <w:contextualSpacing/>
    </w:pPr>
  </w:style>
  <w:style w:type="table" w:styleId="Tabel-Gitter">
    <w:name w:val="Table Grid"/>
    <w:basedOn w:val="Tabel-Normal"/>
    <w:uiPriority w:val="59"/>
    <w:rsid w:val="009B658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\Lokale%20indstillinger\Temporary%20Internet%20Files\Content.Outlook\O5O3G628\FAS%20brev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18F9-90D8-4133-87C5-F08916ED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 brev 4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FMS</cp:lastModifiedBy>
  <cp:revision>2</cp:revision>
  <cp:lastPrinted>2010-09-24T12:48:00Z</cp:lastPrinted>
  <dcterms:created xsi:type="dcterms:W3CDTF">2017-10-30T09:55:00Z</dcterms:created>
  <dcterms:modified xsi:type="dcterms:W3CDTF">2017-10-30T09:55:00Z</dcterms:modified>
</cp:coreProperties>
</file>